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Техническое задание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highlight w:val="yellow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на оказание услуг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по организации и проведению курсов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  <w:lang w:eastAsia="ar-SA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yellow"/>
          <w:lang w:eastAsia="ar-SA"/>
        </w:rPr>
        <w:t xml:space="preserve">повышения квалификации/профессиональной переподготовки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708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708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left="708"/>
        <w:contextualSpacing w:val="true"/>
        <w:jc w:val="left"/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«________________________________________________________________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»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Категория слушателей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_________________________________________________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 обучения: 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академических часов.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Режим занятий: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 академических часов в день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1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академически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равен 45 минутам.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Количество слушателей:</w:t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___________________________.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Срок оказания услуг: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 xml:space="preserve">д</w:t>
      </w:r>
      <w:r>
        <w:rPr>
          <w:rFonts w:ascii="Times New Roman" w:hAnsi="Times New Roman"/>
          <w:sz w:val="24"/>
          <w:szCs w:val="24"/>
          <w:highlight w:val="yellow"/>
        </w:rPr>
        <w:t xml:space="preserve">о </w:t>
      </w:r>
      <w:r>
        <w:rPr>
          <w:rFonts w:ascii="Times New Roman" w:hAnsi="Times New Roman"/>
          <w:sz w:val="24"/>
          <w:szCs w:val="24"/>
          <w:highlight w:val="yellow"/>
        </w:rPr>
        <w:t xml:space="preserve">_____________________ г. 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Место оказания услуг: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  <w:t xml:space="preserve">__________________________________________________.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yellow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Форма обучения: 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очно-заочная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с частичным использованием дистанционных образовательных технологий. Использование ДОТ допускается только в части заочной формы обучения./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очно-заочная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с использованием дистанционных образовательных технологий.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/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заочная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 с использованием дистанционных образовательных технологий.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yellow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  <w:t xml:space="preserve">Очная часть обучения </w:t>
      </w:r>
      <w:r>
        <w:rPr>
          <w:rFonts w:ascii="Times New Roman" w:hAnsi="Times New Roman" w:eastAsia="Times New Roman"/>
          <w:b/>
          <w:i/>
          <w:iCs/>
          <w:sz w:val="24"/>
          <w:szCs w:val="24"/>
          <w:highlight w:val="yellow"/>
          <w:lang w:eastAsia="ru-RU"/>
        </w:rPr>
        <w:t xml:space="preserve">(при наличии)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 составляет 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____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 академических часов, состоит из занятий в аудитории (без использования дистанционных образовательных технологий). Практические занятия в компьютерном классе,</w:t>
      </w:r>
      <w:bookmarkStart w:id="0" w:name="_GoBack"/>
      <w:r>
        <w:rPr>
          <w:highlight w:val="yellow"/>
        </w:rPr>
      </w:r>
      <w:bookmarkEnd w:id="0"/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 в том числе с использованием </w:t>
      </w:r>
      <w:r>
        <w:rPr>
          <w:rFonts w:ascii="Times New Roman" w:hAnsi="Times New Roman"/>
          <w:bCs/>
          <w:sz w:val="24"/>
          <w:szCs w:val="24"/>
          <w:highlight w:val="yellow"/>
          <w:lang w:eastAsia="ru-RU"/>
        </w:rPr>
        <w:t xml:space="preserve">тренажера ЕИС 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(свидетельство о государственной регистрации программы для ЭВМ № 2017618808 или эквивалент) должны составлять не менее чем 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  <w:t xml:space="preserve">80% времени от общего времени аудиторных занятий.</w:t>
      </w:r>
      <w:r>
        <w:rPr>
          <w:rFonts w:ascii="Times New Roman" w:hAnsi="Times New Roman" w:eastAsia="Times New Roman"/>
          <w:bCs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Заочная часть обучения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состо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ит в самостоятельном изучении слушателями материалов по темам, рассматриваемым на курсах повышения квалификации с использованием электронного обучения при помощи системы дистанционного обучения (далее - СДО). Доступ к СДО должен осуществляться посредством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интернет-портала и мобильного приложения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для смартфонов и планшетов, где доступны все материалы, лекции, справочный блок, в том числе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видеолекции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, презентационный материал, тестовые задания для самопроверки, шаблоны документов, практические задания, которые разделяются по разделам, соответствующим темам обучения.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Доступ к СДО должен осуществляться через мобильное приложение и интернет-портал Исполнителя по логину и паролю, выданному при регистрации.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реализации образовательных программ с применением дистанционных образовательных технологий местом осуществления образов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 (ст. 16 Федерального закона от 29.12.2012 N 273-ФЗ "Об образовании в Российской Федерации").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Выдаваемый документ: </w:t>
      </w:r>
      <w:r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  <w:t xml:space="preserve">удостоверение о повышении квалификации/диплом о профессиональной переподготовки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соответствии с приказом Министерства образования и науки Российской Федерации от 01.07.2013 №499 «Об утверждении порядка организации и осуществления образовательной деятельности по дополнительным профессиональным программам».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ходе реализации обучения используются интерактивные методы взаимодействия с аудиторией, направленные на улучшение результатов освоения курса как единого целого и взаимодействующих элементов.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Темы, рассматриваемые на курсах: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1. Общие положения.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 Действующая российская нормативная правовая база, регламентирующая вопросы закупок товаров, работ, услуг для государственных и муниципальных нужд.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 Применение Гражданского кодекса Российской Федерации, Бюджетного кодекса Российской Федерации в контрактной системе.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 Применение антимонопольного законодательства при осуществлении закупок товаров, работ и услуг.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 Понятие контрактной системы (КС). Принципы КС, терминология КС. Особенности закупок бюджетными учреждениями и иными юридическими лицами.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/>
          <w:b/>
          <w:bCs/>
          <w:sz w:val="16"/>
          <w:szCs w:val="16"/>
          <w:lang w:eastAsia="ru-RU"/>
        </w:rPr>
      </w:r>
      <w:r>
        <w:rPr>
          <w:rFonts w:ascii="Times New Roman" w:hAnsi="Times New Roman"/>
          <w:b/>
          <w:bCs/>
          <w:sz w:val="16"/>
          <w:szCs w:val="16"/>
          <w:lang w:eastAsia="ru-RU"/>
        </w:rPr>
      </w:r>
      <w:r>
        <w:rPr>
          <w:rFonts w:ascii="Times New Roman" w:hAnsi="Times New Roman"/>
          <w:b/>
          <w:bCs/>
          <w:sz w:val="16"/>
          <w:szCs w:val="16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2. Информационное обеспечение КС.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2.1. Понятие, содержание, порядок функционирования единой информационной системы.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 Требования к размещению документов в Единой информационной системы (ЕИС).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2.2. Электронный документооборот в контрактной системе. Применение электронной подписи.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2.3. Региональные информационные системы.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Знакомство с интерфейсом и структурой Единой информационной системы (ЕИС), личным кабинетом заказчика и участника. Знакомство с электронными площадками.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Настройка рабочего места пользователя ЕИС и ЭТП. Установка и настройка браузеров (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Chrome</w:t>
      </w:r>
      <w:r>
        <w:rPr>
          <w:rFonts w:ascii="Times New Roman" w:hAnsi="Times New Roman"/>
          <w:sz w:val="24"/>
          <w:szCs w:val="24"/>
          <w:lang w:eastAsia="ru-RU"/>
        </w:rPr>
        <w:t xml:space="preserve">, Спутник и др.), </w:t>
      </w:r>
      <w:r>
        <w:rPr>
          <w:rFonts w:ascii="Times New Roman" w:hAnsi="Times New Roman"/>
          <w:sz w:val="24"/>
          <w:szCs w:val="24"/>
          <w:lang w:eastAsia="ru-RU"/>
        </w:rPr>
        <w:t xml:space="preserve">КриптоПро</w:t>
      </w:r>
      <w:r>
        <w:rPr>
          <w:rFonts w:ascii="Times New Roman" w:hAnsi="Times New Roman"/>
          <w:sz w:val="24"/>
          <w:szCs w:val="24"/>
          <w:lang w:eastAsia="ru-RU"/>
        </w:rPr>
        <w:t xml:space="preserve">, плагинов, сертификатов электронной подписи и корневых сертификатов. Использование ГИС «Независимый регистратор».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3. Кадровое обеспечение контрактной системы.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 Субъекты КС. Контрактная служба. Контрактные управляющие. Комиссия по осуществлению закупок. Требования к членам закупочной комиссии.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 Заказчик, уполномоченный орган, уполномоченное учреждение, специализированная организация, органы по регулированию контрактной системы, контрольные органы и иные субъекты. Полномочия органов исполнительной власти в системе КС.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4. Участники закупок.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 Поняти</w:t>
      </w:r>
      <w:r>
        <w:rPr>
          <w:rFonts w:ascii="Times New Roman" w:hAnsi="Times New Roman"/>
          <w:sz w:val="24"/>
          <w:szCs w:val="24"/>
          <w:lang w:eastAsia="ru-RU"/>
        </w:rPr>
        <w:t xml:space="preserve">е «участник закупки». Требования к участникам закупки. Документы, подтверждающие соответствие участника закупки установленным требованиям. Дополнительные требования, порядок их применения. Административная и судебная практика по дополнительным требованиям.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 Преференции субъектам малого предпринимательства, социально-ориентированным некоммерческим организациям, организациям инвалидов и учреждениям уголовно-исполнительной системы.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4.3. Реестр недобросовестных поставщиков (РНП): основания для включения и исключения сведений из реестра, порядок ведения.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занятие.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Проверка соответствия участника закупки установленным требованиям – отсутствие в РНП (участника, учредителей, руководителя), наличие лицензии, членства в СРО (саморегулируемых организациях) по открытым официальным источникам.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5. Описание объекта закупки.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5.1. Требования к о</w:t>
      </w:r>
      <w:r>
        <w:rPr>
          <w:rFonts w:ascii="Times New Roman" w:hAnsi="Times New Roman"/>
          <w:sz w:val="24"/>
          <w:szCs w:val="24"/>
          <w:lang w:eastAsia="ru-RU"/>
        </w:rPr>
        <w:t xml:space="preserve">писанию объекта закупки. Особенности описания предоставляемых услуг с проектной документацией. Использование диапазонных значений. Инструкция по заполнению заявки. Практика ФАС и судов при рассмотрении жалоб участников на необоснованное отклонение заявок.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 Использование каталога товаров, работ, услуг.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занятие.</w:t>
      </w:r>
      <w:r>
        <w:rPr>
          <w:rFonts w:ascii="Times New Roman" w:hAnsi="Times New Roman"/>
          <w:sz w:val="24"/>
          <w:szCs w:val="24"/>
          <w:lang w:eastAsia="ru-RU"/>
        </w:rPr>
        <w:t xml:space="preserve"> Разработка описания объекта закупки (технического задания) на товары, работы, услуги. Составление заявки.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6. Нормирование. Обоснование начальной (максимальной) цены контракта.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 Порядок расчета НМЦК. Метод</w:t>
      </w:r>
      <w:r>
        <w:rPr>
          <w:rFonts w:ascii="Times New Roman" w:hAnsi="Times New Roman"/>
          <w:sz w:val="24"/>
          <w:szCs w:val="24"/>
          <w:lang w:eastAsia="ru-RU"/>
        </w:rPr>
        <w:t xml:space="preserve">ические рекомендации Минэкономразвития и Минфина, сравнительный анализ. Проблемные вопросы применения Методических рекомендаций. Практика контрольных и надзорных органов при проверке обоснования НМЦК. Порядки определения НМЦК, утвержденные отдельными ФОИВ.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 Особенности определения НМЦК для целей выполнения заказчиком минимальной доли закупок российской продукции, </w:t>
      </w:r>
      <w:r>
        <w:rPr>
          <w:rFonts w:ascii="Times New Roman" w:hAnsi="Times New Roman"/>
          <w:sz w:val="24"/>
          <w:szCs w:val="24"/>
          <w:lang w:eastAsia="ru-RU"/>
        </w:rPr>
        <w:t xml:space="preserve">гособоронзаказа</w:t>
      </w:r>
      <w:r>
        <w:rPr>
          <w:rFonts w:ascii="Times New Roman" w:hAnsi="Times New Roman"/>
          <w:sz w:val="24"/>
          <w:szCs w:val="24"/>
          <w:lang w:eastAsia="ru-RU"/>
        </w:rPr>
        <w:t xml:space="preserve">, стандартного жилья, перевозок пассажиров и багажа, лекарственных средств.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6.3. Особенности определения и установления НМЦК и суммы единичных цен для закупок по единичным ценам (с неопределенным объемом). Основные ошибки при установлении НМЦК, способы их выявления.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6.4. Нормирование в сфере закупок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занятие.</w:t>
      </w:r>
      <w:r>
        <w:rPr>
          <w:rFonts w:ascii="Times New Roman" w:hAnsi="Times New Roman"/>
          <w:sz w:val="24"/>
          <w:szCs w:val="24"/>
          <w:lang w:eastAsia="ru-RU"/>
        </w:rPr>
        <w:t xml:space="preserve"> Составление и проверка обоснования начальной (максимальной) цены методом сопоставимых рыночных цен (с использованием открытых источников). Составление и применение НПА о нормировании.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7. Планирование.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7.1. Планирование закупочной процедуры в КС. Обоснование закупок. Нормирование.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7.2. Идентификационный код закупки. Общественное обсуждение закупок.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7.3. Основные ошибки заказчиков при планировании закупок.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</w:t>
      </w:r>
      <w:r>
        <w:rPr>
          <w:rFonts w:ascii="Times New Roman" w:hAnsi="Times New Roman" w:eastAsia="Times New Roman"/>
          <w:bCs/>
          <w:sz w:val="24"/>
          <w:szCs w:val="24"/>
          <w:u w:val="single"/>
          <w:lang w:eastAsia="ru-RU"/>
        </w:rPr>
        <w:t xml:space="preserve">Единой Информационной Системы в сфере закупок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(далее тренажер ЕИС)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Знакомство с процедурой планирования закупок в ЕИС. Составление и публикация плана-графика закупок.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8. Национальный режим.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8.1. Новый порядок применения национального режима в 44-ФЗ (Постановление Правительства РФ от 23.12.2024г. №1875)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8.2. Особенности установления и применения запретов и ограничений на товары, в том числе на передаваемые при выполнении работ/ оказании услуг.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8.3. Основания и порядок отклонения заявок в закупках с применением ограничений.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8.4. Порядок применения преимуществ и 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собенности заключения и исполнения контрактов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закупках товаров/работ/услуг.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8.5. Новые правила формирования отчета об объеме закупок товаров,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работ/ оказании услуг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российского происхождения.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0"/>
        <w:contextualSpacing w:val="true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Установление условий, ограничений и запретов при применении национального режима.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9. Обзор способов закупки.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9.1. Извещение о проведении закупки: состав и содержание. Запрос на разъяснение положений извещения. Внесение изменений. Отмена закупки.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9.2. Требования к выбору способа закупки.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9.3. Закрытые способы определения поставщика (подрядчика, исполнителя).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9.4. Обеспечительные меры в закупках.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9.5. Обеспечение заявок на участие в закупке. Услови</w:t>
      </w:r>
      <w:r>
        <w:rPr>
          <w:rFonts w:ascii="Times New Roman" w:hAnsi="Times New Roman"/>
          <w:sz w:val="24"/>
          <w:szCs w:val="24"/>
          <w:lang w:eastAsia="ru-RU"/>
        </w:rPr>
        <w:t xml:space="preserve">я независимой гарантии. Реестр независимых гарантий. Основные нарушения при оформлении независимой гарантии, способы их выявления, порядок действий. Типовая форма независимой гарантии. Обеспечение исполнения контракта. Обеспечение гарантийных обязательств.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9.6. Антидемпинговые меры.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9.7. Особенности закупок: в сфере проектирования, строительства и ремонта, в медицинской сфере, </w:t>
      </w:r>
      <w:r>
        <w:rPr>
          <w:rFonts w:ascii="Times New Roman" w:hAnsi="Times New Roman"/>
          <w:sz w:val="24"/>
          <w:szCs w:val="24"/>
          <w:lang w:eastAsia="ru-RU"/>
        </w:rPr>
        <w:t xml:space="preserve">энергосервисные</w:t>
      </w:r>
      <w:r>
        <w:rPr>
          <w:rFonts w:ascii="Times New Roman" w:hAnsi="Times New Roman"/>
          <w:sz w:val="24"/>
          <w:szCs w:val="24"/>
          <w:lang w:eastAsia="ru-RU"/>
        </w:rPr>
        <w:t xml:space="preserve"> контракты, в сфере науки, культуры и искусства.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Выбор способа закупки с учетом ограничений КС.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Установление размера обеспечения, проверка соответствия обеспечения требованиям КС. Проверка независимой гарантии на соответствие установленным требованиям.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10. Аукцион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10.1. Процедура проведения аукциона. Особенности аукциона на закупку услуг, работ. «Схемы» злоупотреблений участников при проведении аукциона, способы выявления и борьбы с ними. Аукционный перечень.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2"/>
        <w:widowControl w:val="false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Практическое занятие с и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спользованием тренажера ЕИС и электронной площадки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t xml:space="preserve"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Полный цикл проведения аукциона – планирование, публикация извещения, запросы разъяснений, подача и рассмотрение заявок, проведение торгов, заключение контракта, направление протокола разногласий, ведение реестра контрактов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11. Запрос котировок.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11.1. Условия и порядок проведения запроса котировок.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11.2.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Подача заявки на запрос котировок (в том числе предложения о цене).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11.3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рассмотрения заявок.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11.4.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заключения контракта.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widowControl w:val="false"/>
        <w:pBdr/>
        <w:spacing w:after="0" w:line="240" w:lineRule="auto"/>
        <w:ind w:firstLine="0"/>
        <w:contextualSpacing w:val="true"/>
        <w:jc w:val="both"/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r>
      <w:r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r>
      <w:r>
        <w:rPr>
          <w:rFonts w:ascii="Times New Roman" w:hAnsi="Times New Roman"/>
          <w:b/>
          <w:bCs/>
          <w:sz w:val="16"/>
          <w:szCs w:val="16"/>
          <w:u w:val="single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ЕИС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Составление и публикация извещения о проведении запроса котировок. Установление в извещении о закупке требований к участникам закупки.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12. Осуществление закупки у единственного поставщика</w:t>
      </w:r>
      <w:r>
        <w:rPr>
          <w:rFonts w:ascii="Times New Roman" w:hAnsi="Times New Roman"/>
          <w:sz w:val="24"/>
          <w:szCs w:val="24"/>
          <w:lang w:eastAsia="ru-RU"/>
        </w:rPr>
        <w:t xml:space="preserve"> (подрядчика, исполнителя).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12.1. Случаи и порядок осуществления закупки у ЕП. Закупки у ЕП в электронной форме. Согласование закупки у ЕП с контрольным органом.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ЕИС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Включение закупки у единственного поставщика (подрядчика, исполнителя) в план-график.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13. Конкурс.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13.1. Правила оценки заявок на участие в закупке. Проведение конкурса. «Схемы» злоупотреблений участников при проведении конкурса, способы выявления и борьбы с ними.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13.2. Порядок и правила оценки заявок участников.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ЕИС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Составление и публикация извещения и конкурсной документации, проверка соответствия установленным требованиям. Установление в извещении о закупке требований к участникам закупки.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Оценка заявок на участие в закупке (Постановление Правительства РФ от 31.12.2021 № 2604).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14. Контракт.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14.1. Государственный и муниципальный контракт (гражданско-прав</w:t>
      </w:r>
      <w:r>
        <w:rPr>
          <w:rFonts w:ascii="Times New Roman" w:hAnsi="Times New Roman"/>
          <w:sz w:val="24"/>
          <w:szCs w:val="24"/>
          <w:lang w:eastAsia="ru-RU"/>
        </w:rPr>
        <w:t xml:space="preserve">овой договор). Порядок заключения, изменения, исполнения, расторжения контракта. Административная и судебная практика по вопросам исполнения контракта. Банковское и казначейское сопровождение контрактов. Особенности заключения контрактов жизненного цикла.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14.2. Реестр контрактов.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14.3. Оформление документа о приемке в ЕИС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Практическое занятие с использованием тренажера ЕИС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sz w:val="24"/>
          <w:szCs w:val="24"/>
          <w:lang w:eastAsia="ru-RU"/>
        </w:rPr>
        <w:t xml:space="preserve">. Ведение реестра контрактов в ЕИС. Регистрация заключения, изменения, исполнения, расторжения контракта.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Тема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15. Мониторинг, аудит и контроль в контрактной системе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15.1. Контроль, аудит, мониторинг в контрактной системе.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15.2. Ответственность за нарушения в сфере закупок.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15.3. Обжалование действий (бездействий) участников КС.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Деловая игра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Обжалование действий и решений заказчиков, членов комиссий в ФАС. Подготовка жалобы и отзыва на жалобу.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16.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Основы закупок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  <w:t xml:space="preserve"> (223-ФЗ).</w:t>
      </w:r>
      <w:r/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16.1.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Общее регулирование закупок отдельных видов юридических лиц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16.2. Положение о закупках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16.3. Способы закупок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16.4. Планирование закупок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16.5. Машиночитаемая доверенность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Практическое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 xml:space="preserve">с использованием тренажера ЕИС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Размещение положения о закупк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ах.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  <w:r>
        <w:rPr>
          <w:rFonts w:ascii="Times New Roman" w:hAnsi="Times New Roman"/>
          <w:sz w:val="24"/>
          <w:szCs w:val="24"/>
          <w:u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Тема 17. Подготовка к процедуре закупки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  <w:t xml:space="preserve"> (223-ФЗ).</w:t>
      </w:r>
      <w:r/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17.1. Документация о закупке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17.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Участник закупки. Требования к участникам закупки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17.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 Техническое задание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17.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Обоснование начальной максимальной цены договора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17.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5.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Приоритет товаров российского происхождения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Практическое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 xml:space="preserve">с использованием тренажера ЕИС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Составление плана закупки.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</w:p>
    <w:p>
      <w:pPr>
        <w:pBdr/>
        <w:spacing w:after="0" w:line="240" w:lineRule="auto"/>
        <w:ind w:right="0" w:firstLine="709" w:left="0"/>
        <w:contextualSpacing w:val="true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  <w:lang w:eastAsia="ru-RU"/>
        </w:rPr>
      </w:r>
      <w:r>
        <w:rPr>
          <w:rFonts w:ascii="Times New Roman" w:hAnsi="Times New Roman"/>
          <w:sz w:val="24"/>
          <w:szCs w:val="24"/>
          <w:u w:val="none"/>
          <w:lang w:eastAsia="ru-RU"/>
        </w:rPr>
      </w:r>
      <w:r>
        <w:rPr>
          <w:u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Тема 18. </w:t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Проведение закупочных процедур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  <w:t xml:space="preserve"> (223-ФЗ).</w:t>
      </w:r>
      <w:r/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18.1. Проведение аукциона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18.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 Проведение запроса котировок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18.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 Проведение конкурса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18.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4. Проведение запроса предложений</w:t>
      </w:r>
      <w:r>
        <w:rPr>
          <w:rFonts w:ascii="Times New Roman" w:hAnsi="Times New Roman" w:eastAsia="Calibri" w:cs="Times New Roman"/>
          <w:b w:val="0"/>
          <w:bCs w:val="0"/>
          <w:i w:val="0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auto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18.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5.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Особенности закупок у субъектов малого и среднего предпринимательства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18.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6. Закупка у единственного поставщика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Практическое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 xml:space="preserve">с использованием тренажера ЕИС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Размещение извещения.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</w:p>
    <w:p>
      <w:pPr>
        <w:pBdr/>
        <w:spacing w:after="0" w:line="240" w:lineRule="auto"/>
        <w:ind w:right="0" w:firstLine="709" w:left="0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Тема 19. </w:t>
      </w:r>
      <w:r>
        <w:rPr>
          <w:rFonts w:ascii="Times New Roman" w:hAnsi="Times New Roman" w:eastAsia="Calibri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Договор: исполнение, приемка и контроль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  <w:t xml:space="preserve"> (223-ФЗ).</w:t>
      </w:r>
      <w:r>
        <w:rPr>
          <w:rFonts w:ascii="Times New Roman" w:hAnsi="Times New Roman" w:eastAsia="Calibri" w:cs="Times New Roman"/>
          <w:b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19.1. Заключение договора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19.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2. Содержание договора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19.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3. Реестр договоров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19.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4. Приемка товара, работы, услуги. Порядок приемки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19.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5. Оформление товарной накладной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19.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6.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Оформление акта выполненных работ, оказанных услуг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19.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7.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Документы, подтверждающие страну происхождения товара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76" w:lineRule="auto"/>
        <w:ind w:right="0" w:firstLine="709" w:left="0"/>
        <w:jc w:val="left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19.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8. Контроль и обжалование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19.</w:t>
      </w:r>
      <w:r/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9. Отчетность по 223-ФЗ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Практическое 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 xml:space="preserve">с использованием тренажера ЕИС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(свидетельство о государственной регистрации программы для ЭВМ № 2017618808 или эквивалент)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Внесение сведений в реестр договоров.</w:t>
      </w:r>
      <w:r>
        <w:rPr>
          <w:b w:val="0"/>
          <w:bCs w:val="0"/>
          <w:u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r>
    </w:p>
    <w:p>
      <w:pPr>
        <w:pBdr/>
        <w:spacing w:after="0" w:line="240" w:lineRule="auto"/>
        <w:ind w:firstLine="0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Реализация образовательной программы осуществляется с привлечением квалифицированного преподавательского состава, имеющего об</w:t>
      </w:r>
      <w:r>
        <w:rPr>
          <w:rFonts w:ascii="Times New Roman" w:hAnsi="Times New Roman"/>
          <w:sz w:val="24"/>
          <w:szCs w:val="24"/>
          <w:lang w:eastAsia="ru-RU"/>
        </w:rPr>
        <w:t xml:space="preserve">разование, соответствующее требованиям профессиональных стандартов «Специалист в сфере закупок», «Эксперт в сфере закупок», базовое образование по профилю преподаваемой дисциплины. В ходе обучения привлекаемыми Исполнителем преподавателями содержание вопро</w:t>
      </w:r>
      <w:r>
        <w:rPr>
          <w:rFonts w:ascii="Times New Roman" w:hAnsi="Times New Roman"/>
          <w:sz w:val="24"/>
          <w:szCs w:val="24"/>
          <w:lang w:eastAsia="ru-RU"/>
        </w:rPr>
        <w:t xml:space="preserve">сов, по которым проводится обучение, должно быть раскрыто полностью (исчерпывающе). В случае наличия вопросов слушателей по тематике обучения, привлекаемые Исполнителем преподаватели должны ответить слушателям на указанные вопросы полностью (исчерпывающе).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  <w:lang w:eastAsia="ru-RU"/>
        </w:rPr>
        <w:t xml:space="preserve">Аудиторное обучение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 </w:t>
      </w:r>
      <w:r>
        <w:rPr>
          <w:rFonts w:ascii="Times New Roman" w:hAnsi="Times New Roman"/>
          <w:b/>
          <w:bCs/>
          <w:i/>
          <w:iCs/>
          <w:sz w:val="24"/>
          <w:szCs w:val="24"/>
          <w:highlight w:val="yellow"/>
          <w:lang w:eastAsia="ru-RU"/>
        </w:rPr>
        <w:t xml:space="preserve">(при наличии)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должно проходить с привлечением преподавателя, сертифицированного оператором электронной площадки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(АО «Сбербанк-АСТ» и (или) АО «ЕЭТП» и (или) ООО «РТС-Тендер» и (или) АО «ТЭК-Торг» и (или) ООО «ЭТП ГПБ» и (или) АО «РАД» и (или) АО «АГЗРТ» и (или) АО «ЭТС») для рассмотрения теоретических и практических норм применения законодательства в сфере закупок.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Аудиторные занятия должны быть организованы, в том числе, в форме круглого стола, проблемно – аналитических тренингов с рассмотрением практических примеров законодательства о контрактной системе.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Учебный класс для проведения аудиторной части обучения должен быть укомплектован: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столами (партами);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стульями;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</w:t>
      </w:r>
      <w:r>
        <w:rPr>
          <w:rFonts w:ascii="Times New Roman" w:hAnsi="Times New Roman"/>
          <w:b/>
          <w:bCs/>
          <w:sz w:val="24"/>
          <w:szCs w:val="24"/>
          <w:highlight w:val="yellow"/>
          <w:lang w:eastAsia="ru-RU"/>
        </w:rPr>
        <w:t xml:space="preserve">персональными компьютерами (или ноутбуками) в количестве по 1 штуке для каждого обучающегося,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с установленным программным обеспечением для работы на тренажере ЕИС, на электронных площадках, позволяющих работать с текстом и изображениями, и доступом к сети Интернет; 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- мультимедийным, видеопроекционным оборудованием, позволяющим воспроизводить демонстрационные материалы.</w:t>
      </w:r>
      <w:r>
        <w:rPr>
          <w:rFonts w:ascii="Times New Roman" w:hAnsi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Выполнение практических занятий по темам: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"Конкурс", "Аукцион", "Запрос котировок",</w:t>
      </w:r>
      <w:r>
        <w:rPr>
          <w:rFonts w:ascii="Times New Roman" w:hAnsi="Times New Roman"/>
          <w:sz w:val="24"/>
          <w:szCs w:val="24"/>
          <w:lang w:eastAsia="ru-RU"/>
        </w:rPr>
        <w:t xml:space="preserve"> с целью отработки навыков работы на электронной площадке, должны выполняться в том числе с использованием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учебной версии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(работающей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Федеральным законом от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18 июля 2011 г.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223-ФЗ «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»</w:t>
      </w:r>
      <w:r/>
      <w:r>
        <w:rPr>
          <w:rFonts w:ascii="Times New Roman" w:hAnsi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Слушателям </w:t>
      </w:r>
      <w:r>
        <w:rPr>
          <w:rFonts w:ascii="Times New Roman" w:hAnsi="Times New Roman"/>
          <w:bCs/>
          <w:sz w:val="24"/>
          <w:szCs w:val="24"/>
        </w:rPr>
        <w:t xml:space="preserve">в период обучения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предоставляются учебно-методические пособия по программе обучения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t xml:space="preserve">доступ к электронной базе нормативно-правовых документов, в соответствии со спецификой программы обучения, который сохраняется</w:t>
      </w:r>
      <w:r>
        <w:rPr>
          <w:rFonts w:ascii="Times New Roman" w:hAnsi="Times New Roman"/>
          <w:bCs/>
          <w:sz w:val="24"/>
          <w:szCs w:val="24"/>
        </w:rPr>
        <w:t xml:space="preserve"> в течение 6 месяцев после окончания обучения.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Исполнитель в период оказания услуг оказывает учебно-методическую помощь обучающимся, в том числе в форме индивидуальных консультаций, оказываемых дистанционно с использованием систем видеоконференцсвязи.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2"/>
    <w:next w:val="882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2"/>
    <w:next w:val="88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2"/>
    <w:next w:val="882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2"/>
    <w:next w:val="88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2"/>
    <w:next w:val="882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2"/>
    <w:next w:val="882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2"/>
    <w:next w:val="882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2"/>
    <w:next w:val="882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2"/>
    <w:next w:val="882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3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3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3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3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3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3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2"/>
    <w:next w:val="882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3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2"/>
    <w:next w:val="882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3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2"/>
    <w:next w:val="882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3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2"/>
    <w:next w:val="882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2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/>
      <w:ind/>
    </w:pPr>
    <w:rPr>
      <w:rFonts w:ascii="Calibri" w:hAnsi="Calibri" w:eastAsia="Calibri" w:cs="Times New Roman"/>
    </w:r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Администрация Липецкой области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Погожева Юлия Александровна</dc:creator>
  <cp:keywords/>
  <dc:description/>
  <cp:revision>6</cp:revision>
  <dcterms:created xsi:type="dcterms:W3CDTF">2025-02-13T11:37:00Z</dcterms:created>
  <dcterms:modified xsi:type="dcterms:W3CDTF">2025-03-03T07:24:02Z</dcterms:modified>
</cp:coreProperties>
</file>